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A86" w:rsidRDefault="00E62A86" w:rsidP="00E62A86">
      <w:pPr>
        <w:pStyle w:val="Heading1"/>
        <w:numPr>
          <w:ilvl w:val="0"/>
          <w:numId w:val="0"/>
        </w:numPr>
      </w:pPr>
      <w:bookmarkStart w:id="0" w:name="_Toc288131448"/>
      <w:r>
        <w:t xml:space="preserve"> </w:t>
      </w:r>
      <w:r w:rsidR="004F3D8B">
        <w:t xml:space="preserve">GLDPM </w:t>
      </w:r>
      <w:r w:rsidR="006B12C9">
        <w:t>Consultation</w:t>
      </w:r>
      <w:r>
        <w:t xml:space="preserve"> Response </w:t>
      </w:r>
      <w:proofErr w:type="spellStart"/>
      <w:r>
        <w:t>Proforma</w:t>
      </w:r>
      <w:bookmarkEnd w:id="0"/>
      <w:proofErr w:type="spellEnd"/>
    </w:p>
    <w:p w:rsidR="00481DC0" w:rsidRDefault="00481DC0" w:rsidP="00E62A86">
      <w:pPr>
        <w:rPr>
          <w:rFonts w:cs="Arial"/>
          <w:b/>
          <w:szCs w:val="22"/>
        </w:rPr>
      </w:pPr>
    </w:p>
    <w:p w:rsidR="004F3D8B" w:rsidRPr="001A5F5C" w:rsidRDefault="004F3D8B" w:rsidP="004F3D8B">
      <w:pPr>
        <w:jc w:val="both"/>
      </w:pPr>
      <w:r w:rsidRPr="001A5F5C">
        <w:rPr>
          <w:b/>
        </w:rPr>
        <w:t xml:space="preserve">Consultation on the implementation of the Generation and Load Data Provision Methodology within existing GB framework </w:t>
      </w:r>
      <w:r w:rsidRPr="001A5F5C">
        <w:t xml:space="preserve"> </w:t>
      </w:r>
    </w:p>
    <w:p w:rsidR="00976E28" w:rsidRPr="003F639A" w:rsidRDefault="00976E28" w:rsidP="00976E28">
      <w:pPr>
        <w:rPr>
          <w:rFonts w:cs="Arial"/>
          <w:szCs w:val="22"/>
        </w:rPr>
      </w:pPr>
    </w:p>
    <w:p w:rsidR="00E62A86" w:rsidRPr="003F639A" w:rsidRDefault="00E62A86" w:rsidP="00E62A86">
      <w:pPr>
        <w:pStyle w:val="BodyText"/>
        <w:ind w:right="-97"/>
        <w:rPr>
          <w:rFonts w:cs="Arial"/>
          <w:spacing w:val="-3"/>
          <w:szCs w:val="22"/>
        </w:rPr>
      </w:pPr>
      <w:r w:rsidRPr="003F639A">
        <w:rPr>
          <w:rFonts w:cs="Arial"/>
          <w:spacing w:val="-3"/>
          <w:szCs w:val="22"/>
        </w:rPr>
        <w:t xml:space="preserve">Industry parties are invited to respond to this consultation expressing their views and supplying the rationale for those views, particularly in respect of </w:t>
      </w:r>
      <w:r>
        <w:rPr>
          <w:rFonts w:cs="Arial"/>
          <w:spacing w:val="-3"/>
          <w:szCs w:val="22"/>
        </w:rPr>
        <w:t xml:space="preserve">any </w:t>
      </w:r>
      <w:r w:rsidRPr="003F639A">
        <w:rPr>
          <w:rFonts w:cs="Arial"/>
          <w:spacing w:val="-3"/>
          <w:szCs w:val="22"/>
        </w:rPr>
        <w:t>specific questions detailed below.</w:t>
      </w:r>
    </w:p>
    <w:p w:rsidR="00E62A86" w:rsidRPr="00694354" w:rsidRDefault="00E62A86" w:rsidP="00E62A86">
      <w:pPr>
        <w:pStyle w:val="BodyText"/>
        <w:ind w:right="-97"/>
        <w:rPr>
          <w:rFonts w:cs="Arial"/>
          <w:spacing w:val="-3"/>
          <w:szCs w:val="22"/>
        </w:rPr>
      </w:pPr>
      <w:r w:rsidRPr="00694354">
        <w:rPr>
          <w:rFonts w:cs="Arial"/>
          <w:spacing w:val="-3"/>
          <w:szCs w:val="22"/>
        </w:rPr>
        <w:t xml:space="preserve">Please send your responses </w:t>
      </w:r>
      <w:r w:rsidR="004F3D8B">
        <w:rPr>
          <w:rFonts w:cs="Arial"/>
          <w:spacing w:val="-3"/>
          <w:szCs w:val="22"/>
        </w:rPr>
        <w:t xml:space="preserve">to </w:t>
      </w:r>
      <w:hyperlink r:id="rId9" w:history="1">
        <w:r w:rsidR="004F3D8B" w:rsidRPr="002C09D1">
          <w:rPr>
            <w:rStyle w:val="Hyperlink"/>
          </w:rPr>
          <w:t>europeancodes.electricity@nationalgrid.com</w:t>
        </w:r>
      </w:hyperlink>
      <w:r w:rsidR="001E6AE5">
        <w:rPr>
          <w:rFonts w:cs="Arial"/>
          <w:spacing w:val="-3"/>
          <w:szCs w:val="22"/>
        </w:rPr>
        <w:t xml:space="preserve"> </w:t>
      </w:r>
      <w:r w:rsidRPr="00694354">
        <w:rPr>
          <w:rFonts w:cs="Arial"/>
          <w:spacing w:val="-3"/>
          <w:szCs w:val="22"/>
        </w:rPr>
        <w:t xml:space="preserve"> </w:t>
      </w:r>
      <w:r w:rsidR="004F3D8B">
        <w:rPr>
          <w:rFonts w:cs="Arial"/>
          <w:spacing w:val="-3"/>
          <w:szCs w:val="22"/>
        </w:rPr>
        <w:t xml:space="preserve">by </w:t>
      </w:r>
      <w:r w:rsidR="004F3D8B">
        <w:rPr>
          <w:rFonts w:cs="Arial"/>
          <w:b/>
          <w:spacing w:val="-3"/>
          <w:szCs w:val="22"/>
        </w:rPr>
        <w:t>2</w:t>
      </w:r>
      <w:r w:rsidR="00F23DC8">
        <w:rPr>
          <w:rFonts w:cs="Arial"/>
          <w:b/>
          <w:spacing w:val="-3"/>
          <w:szCs w:val="22"/>
        </w:rPr>
        <w:t>6</w:t>
      </w:r>
      <w:r w:rsidR="00F23DC8" w:rsidRPr="00F23DC8">
        <w:rPr>
          <w:rFonts w:cs="Arial"/>
          <w:b/>
          <w:spacing w:val="-3"/>
          <w:szCs w:val="22"/>
          <w:vertAlign w:val="superscript"/>
        </w:rPr>
        <w:t>th</w:t>
      </w:r>
      <w:r w:rsidR="00F23DC8">
        <w:rPr>
          <w:rFonts w:cs="Arial"/>
          <w:b/>
          <w:spacing w:val="-3"/>
          <w:szCs w:val="22"/>
        </w:rPr>
        <w:t xml:space="preserve"> </w:t>
      </w:r>
      <w:r w:rsidR="004F3D8B">
        <w:rPr>
          <w:rFonts w:cs="Arial"/>
          <w:b/>
          <w:spacing w:val="-3"/>
          <w:szCs w:val="22"/>
        </w:rPr>
        <w:t>January 2017</w:t>
      </w:r>
      <w:r w:rsidR="004F3D8B">
        <w:rPr>
          <w:rFonts w:cs="Arial"/>
          <w:spacing w:val="-3"/>
          <w:szCs w:val="22"/>
        </w:rPr>
        <w:t xml:space="preserve">. </w:t>
      </w:r>
      <w:r w:rsidRPr="00694354">
        <w:rPr>
          <w:rFonts w:cs="Arial"/>
          <w:spacing w:val="-3"/>
          <w:szCs w:val="22"/>
        </w:rPr>
        <w:t>Please note that any responses received after the deadline or sent to a different email address may not receive due consideration by the Work</w:t>
      </w:r>
      <w:r>
        <w:rPr>
          <w:rFonts w:cs="Arial"/>
          <w:spacing w:val="-3"/>
          <w:szCs w:val="22"/>
        </w:rPr>
        <w:t>group.</w:t>
      </w:r>
    </w:p>
    <w:p w:rsidR="00C15869" w:rsidRDefault="00E62A86" w:rsidP="00E62A86">
      <w:pPr>
        <w:rPr>
          <w:rFonts w:cs="Arial"/>
          <w:szCs w:val="22"/>
        </w:rPr>
      </w:pPr>
      <w:r w:rsidRPr="00651F79">
        <w:rPr>
          <w:rFonts w:cs="Arial"/>
          <w:szCs w:val="22"/>
        </w:rPr>
        <w:t>Any queries on the content of the consultation should be addressed to</w:t>
      </w:r>
      <w:r w:rsidR="004F3D8B">
        <w:rPr>
          <w:rFonts w:cs="Arial"/>
          <w:szCs w:val="22"/>
        </w:rPr>
        <w:t xml:space="preserve"> James Bradley; </w:t>
      </w:r>
      <w:hyperlink r:id="rId10" w:history="1">
        <w:r w:rsidR="004F3D8B" w:rsidRPr="002C09D1">
          <w:rPr>
            <w:rStyle w:val="Hyperlink"/>
            <w:rFonts w:cs="Arial"/>
            <w:szCs w:val="22"/>
          </w:rPr>
          <w:t>james.bradley@nationalgrid.com</w:t>
        </w:r>
      </w:hyperlink>
      <w:r w:rsidR="004F3D8B">
        <w:rPr>
          <w:rFonts w:cs="Arial"/>
          <w:szCs w:val="22"/>
        </w:rPr>
        <w:t xml:space="preserve"> </w:t>
      </w:r>
    </w:p>
    <w:p w:rsidR="00E62A86" w:rsidRDefault="00E62A86" w:rsidP="00E62A86">
      <w:pPr>
        <w:rPr>
          <w:rFonts w:cs="Arial"/>
          <w:szCs w:val="22"/>
        </w:rPr>
      </w:pPr>
    </w:p>
    <w:tbl>
      <w:tblPr>
        <w:tblW w:w="9960"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3402"/>
        <w:gridCol w:w="6558"/>
      </w:tblGrid>
      <w:tr w:rsidR="00E62A86" w:rsidRPr="00170E5E" w:rsidTr="00E62A86">
        <w:tc>
          <w:tcPr>
            <w:tcW w:w="3402" w:type="dxa"/>
          </w:tcPr>
          <w:p w:rsidR="00E62A86" w:rsidRPr="00651F79" w:rsidRDefault="00E62A86" w:rsidP="00E62A86">
            <w:pPr>
              <w:pStyle w:val="BodyText"/>
              <w:rPr>
                <w:rFonts w:cs="Arial"/>
                <w:b/>
                <w:szCs w:val="22"/>
              </w:rPr>
            </w:pPr>
            <w:r w:rsidRPr="00651F79">
              <w:rPr>
                <w:rFonts w:cs="Arial"/>
                <w:b/>
                <w:szCs w:val="22"/>
              </w:rPr>
              <w:t>Respondent:</w:t>
            </w:r>
          </w:p>
        </w:tc>
        <w:tc>
          <w:tcPr>
            <w:tcW w:w="6558" w:type="dxa"/>
          </w:tcPr>
          <w:p w:rsidR="00E62A86" w:rsidRPr="00651F79" w:rsidRDefault="00E743D1" w:rsidP="00E62A86">
            <w:pPr>
              <w:pStyle w:val="BodyText"/>
              <w:rPr>
                <w:rFonts w:cs="Arial"/>
                <w:i/>
                <w:szCs w:val="22"/>
              </w:rPr>
            </w:pPr>
            <w:r>
              <w:rPr>
                <w:rFonts w:cs="Arial"/>
                <w:i/>
                <w:szCs w:val="22"/>
              </w:rPr>
              <w:t>Garth Graham (garth.graham@sse.com)</w:t>
            </w:r>
          </w:p>
        </w:tc>
      </w:tr>
      <w:tr w:rsidR="00E62A86" w:rsidRPr="00170E5E" w:rsidTr="00E62A86">
        <w:trPr>
          <w:trHeight w:val="317"/>
        </w:trPr>
        <w:tc>
          <w:tcPr>
            <w:tcW w:w="3402" w:type="dxa"/>
          </w:tcPr>
          <w:p w:rsidR="00E62A86" w:rsidRPr="00651F79" w:rsidRDefault="00E62A86" w:rsidP="00E62A86">
            <w:pPr>
              <w:pStyle w:val="BodyText"/>
              <w:rPr>
                <w:rFonts w:cs="Arial"/>
                <w:b/>
                <w:szCs w:val="22"/>
              </w:rPr>
            </w:pPr>
            <w:r w:rsidRPr="00651F79">
              <w:rPr>
                <w:rFonts w:cs="Arial"/>
                <w:b/>
                <w:szCs w:val="22"/>
              </w:rPr>
              <w:t>Company Name:</w:t>
            </w:r>
          </w:p>
        </w:tc>
        <w:tc>
          <w:tcPr>
            <w:tcW w:w="6558" w:type="dxa"/>
          </w:tcPr>
          <w:p w:rsidR="00E62A86" w:rsidRPr="00651F79" w:rsidRDefault="00E743D1" w:rsidP="00E62A86">
            <w:pPr>
              <w:pStyle w:val="BodyText"/>
              <w:rPr>
                <w:rFonts w:cs="Arial"/>
                <w:i/>
                <w:szCs w:val="22"/>
              </w:rPr>
            </w:pPr>
            <w:r>
              <w:rPr>
                <w:rFonts w:cs="Arial"/>
                <w:i/>
                <w:szCs w:val="22"/>
              </w:rPr>
              <w:t>SSE</w:t>
            </w:r>
          </w:p>
        </w:tc>
      </w:tr>
    </w:tbl>
    <w:p w:rsidR="00E62A86" w:rsidRDefault="00E62A86" w:rsidP="00E62A86"/>
    <w:p w:rsidR="00E62A86" w:rsidRDefault="00343E50" w:rsidP="00E62A86">
      <w:pPr>
        <w:rPr>
          <w:b/>
        </w:rPr>
      </w:pPr>
      <w:r>
        <w:rPr>
          <w:b/>
        </w:rPr>
        <w:t>C</w:t>
      </w:r>
      <w:r w:rsidR="007E526A" w:rsidRPr="007E526A">
        <w:rPr>
          <w:b/>
        </w:rPr>
        <w:t>onsultation questions</w:t>
      </w:r>
    </w:p>
    <w:p w:rsidR="007E526A" w:rsidRDefault="007E526A" w:rsidP="00E62A86">
      <w:pPr>
        <w:rPr>
          <w:b/>
        </w:rPr>
      </w:pPr>
    </w:p>
    <w:tbl>
      <w:tblPr>
        <w:tblW w:w="9960"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67"/>
        <w:gridCol w:w="3057"/>
        <w:gridCol w:w="6336"/>
      </w:tblGrid>
      <w:tr w:rsidR="007E526A" w:rsidRPr="00651F79" w:rsidTr="00FA07C6">
        <w:trPr>
          <w:cantSplit/>
          <w:trHeight w:val="267"/>
          <w:tblHeader/>
        </w:trPr>
        <w:tc>
          <w:tcPr>
            <w:tcW w:w="567" w:type="dxa"/>
            <w:shd w:val="clear" w:color="auto" w:fill="D9D9D9"/>
          </w:tcPr>
          <w:p w:rsidR="007E526A" w:rsidRPr="00651F79" w:rsidRDefault="007E526A" w:rsidP="00731A0D">
            <w:pPr>
              <w:rPr>
                <w:rFonts w:cs="Arial"/>
                <w:b/>
                <w:szCs w:val="22"/>
              </w:rPr>
            </w:pPr>
            <w:r w:rsidRPr="00651F79">
              <w:rPr>
                <w:rFonts w:cs="Arial"/>
                <w:b/>
                <w:szCs w:val="22"/>
              </w:rPr>
              <w:t>Q</w:t>
            </w:r>
          </w:p>
        </w:tc>
        <w:tc>
          <w:tcPr>
            <w:tcW w:w="3057" w:type="dxa"/>
            <w:shd w:val="clear" w:color="auto" w:fill="D9D9D9"/>
          </w:tcPr>
          <w:p w:rsidR="007E526A" w:rsidRPr="00651F79" w:rsidRDefault="007E526A" w:rsidP="00731A0D">
            <w:pPr>
              <w:rPr>
                <w:rFonts w:cs="Arial"/>
                <w:b/>
                <w:szCs w:val="22"/>
              </w:rPr>
            </w:pPr>
            <w:r w:rsidRPr="00651F79">
              <w:rPr>
                <w:rFonts w:cs="Arial"/>
                <w:b/>
                <w:szCs w:val="22"/>
              </w:rPr>
              <w:t>Question</w:t>
            </w:r>
          </w:p>
        </w:tc>
        <w:tc>
          <w:tcPr>
            <w:tcW w:w="6336" w:type="dxa"/>
            <w:shd w:val="clear" w:color="auto" w:fill="D9D9D9"/>
          </w:tcPr>
          <w:p w:rsidR="007E526A" w:rsidRPr="00651F79" w:rsidRDefault="007E526A" w:rsidP="00731A0D">
            <w:pPr>
              <w:rPr>
                <w:rFonts w:cs="Arial"/>
                <w:b/>
                <w:szCs w:val="22"/>
              </w:rPr>
            </w:pPr>
            <w:r w:rsidRPr="00651F79">
              <w:rPr>
                <w:rFonts w:cs="Arial"/>
                <w:b/>
                <w:szCs w:val="22"/>
              </w:rPr>
              <w:t>Response</w:t>
            </w:r>
          </w:p>
        </w:tc>
      </w:tr>
      <w:tr w:rsidR="00343E50" w:rsidRPr="00651F79" w:rsidTr="00731A0D">
        <w:trPr>
          <w:cantSplit/>
          <w:trHeight w:val="267"/>
        </w:trPr>
        <w:tc>
          <w:tcPr>
            <w:tcW w:w="567" w:type="dxa"/>
          </w:tcPr>
          <w:p w:rsidR="00343E50" w:rsidRPr="00651F79" w:rsidRDefault="00343E50" w:rsidP="00731A0D">
            <w:pPr>
              <w:rPr>
                <w:rFonts w:cs="Arial"/>
                <w:szCs w:val="22"/>
              </w:rPr>
            </w:pPr>
            <w:r>
              <w:rPr>
                <w:rFonts w:cs="Arial"/>
                <w:szCs w:val="22"/>
              </w:rPr>
              <w:t>1</w:t>
            </w:r>
          </w:p>
        </w:tc>
        <w:tc>
          <w:tcPr>
            <w:tcW w:w="3057" w:type="dxa"/>
          </w:tcPr>
          <w:p w:rsidR="00343E50" w:rsidRPr="00187F2E" w:rsidRDefault="00187F2E" w:rsidP="00187F2E">
            <w:pPr>
              <w:spacing w:before="120" w:after="120" w:line="240" w:lineRule="auto"/>
              <w:ind w:left="34" w:right="114"/>
              <w:jc w:val="both"/>
              <w:rPr>
                <w:b/>
              </w:rPr>
            </w:pPr>
            <w:r>
              <w:rPr>
                <w:rFonts w:cs="Arial"/>
                <w:b/>
              </w:rPr>
              <w:t xml:space="preserve">Do you </w:t>
            </w:r>
            <w:r w:rsidRPr="00565099">
              <w:rPr>
                <w:b/>
              </w:rPr>
              <w:t xml:space="preserve">agree with the position explained </w:t>
            </w:r>
            <w:r>
              <w:rPr>
                <w:b/>
              </w:rPr>
              <w:t>in the table above</w:t>
            </w:r>
            <w:r w:rsidRPr="00565099">
              <w:rPr>
                <w:b/>
              </w:rPr>
              <w:t xml:space="preserve"> that no further data items are required</w:t>
            </w:r>
            <w:r>
              <w:rPr>
                <w:b/>
              </w:rPr>
              <w:t>?</w:t>
            </w:r>
          </w:p>
        </w:tc>
        <w:tc>
          <w:tcPr>
            <w:tcW w:w="6336" w:type="dxa"/>
          </w:tcPr>
          <w:p w:rsidR="004F3D8B" w:rsidRDefault="00494154" w:rsidP="00731A0D">
            <w:pPr>
              <w:rPr>
                <w:rFonts w:cs="Arial"/>
                <w:szCs w:val="22"/>
              </w:rPr>
            </w:pPr>
            <w:r>
              <w:rPr>
                <w:rFonts w:cs="Arial"/>
                <w:szCs w:val="22"/>
              </w:rPr>
              <w:t xml:space="preserve">We </w:t>
            </w:r>
            <w:r w:rsidR="001A571E">
              <w:rPr>
                <w:rFonts w:cs="Arial"/>
                <w:szCs w:val="22"/>
              </w:rPr>
              <w:t xml:space="preserve">do not </w:t>
            </w:r>
            <w:r>
              <w:rPr>
                <w:rFonts w:cs="Arial"/>
                <w:szCs w:val="22"/>
              </w:rPr>
              <w:t>agree with the statement ‘that no further data items are required’</w:t>
            </w:r>
            <w:r w:rsidR="001A571E">
              <w:rPr>
                <w:rFonts w:cs="Arial"/>
                <w:szCs w:val="22"/>
              </w:rPr>
              <w:t xml:space="preserve">. </w:t>
            </w:r>
          </w:p>
          <w:p w:rsidR="001A571E" w:rsidRDefault="001A571E" w:rsidP="00731A0D">
            <w:pPr>
              <w:rPr>
                <w:rFonts w:cs="Arial"/>
                <w:szCs w:val="22"/>
              </w:rPr>
            </w:pPr>
          </w:p>
          <w:p w:rsidR="001A571E" w:rsidRDefault="001A571E" w:rsidP="00731A0D">
            <w:pPr>
              <w:rPr>
                <w:rFonts w:cs="Arial"/>
                <w:szCs w:val="22"/>
              </w:rPr>
            </w:pPr>
            <w:r>
              <w:rPr>
                <w:rFonts w:cs="Arial"/>
                <w:szCs w:val="22"/>
              </w:rPr>
              <w:t>This is because the consultation itself makes clear (under ‘data provision framework’ within the Guidance notes) that the ROSA has not been written and therefore “</w:t>
            </w:r>
            <w:r w:rsidRPr="001A571E">
              <w:rPr>
                <w:i/>
                <w:szCs w:val="22"/>
              </w:rPr>
              <w:t>no detailed data requirements can be inferred</w:t>
            </w:r>
            <w:r>
              <w:rPr>
                <w:rFonts w:cs="Arial"/>
                <w:szCs w:val="22"/>
              </w:rPr>
              <w:t xml:space="preserve">”.  </w:t>
            </w:r>
          </w:p>
          <w:p w:rsidR="001A571E" w:rsidRDefault="001A571E" w:rsidP="00731A0D">
            <w:pPr>
              <w:rPr>
                <w:rFonts w:cs="Arial"/>
                <w:szCs w:val="22"/>
              </w:rPr>
            </w:pPr>
          </w:p>
          <w:p w:rsidR="001A571E" w:rsidRDefault="001A571E" w:rsidP="00731A0D">
            <w:pPr>
              <w:rPr>
                <w:rFonts w:cs="Arial"/>
                <w:szCs w:val="22"/>
              </w:rPr>
            </w:pPr>
            <w:r>
              <w:rPr>
                <w:rFonts w:cs="Arial"/>
                <w:szCs w:val="22"/>
              </w:rPr>
              <w:t>Without this clarity we believe it is impossible for anyone to ‘agree’ to this question.</w:t>
            </w:r>
          </w:p>
          <w:p w:rsidR="001A571E" w:rsidRDefault="001A571E" w:rsidP="00731A0D">
            <w:pPr>
              <w:rPr>
                <w:rFonts w:cs="Arial"/>
                <w:szCs w:val="22"/>
              </w:rPr>
            </w:pPr>
          </w:p>
          <w:p w:rsidR="004F3D8B" w:rsidRPr="00651F79" w:rsidRDefault="001A571E" w:rsidP="001A571E">
            <w:pPr>
              <w:rPr>
                <w:rFonts w:cs="Arial"/>
                <w:szCs w:val="22"/>
              </w:rPr>
            </w:pPr>
            <w:r>
              <w:rPr>
                <w:rFonts w:cs="Arial"/>
                <w:szCs w:val="22"/>
              </w:rPr>
              <w:t>As we have clearly set out in the (GB) GLDPM mapping workshop discussions held last summer (and in subsequent bi-lateral discussions with National Grid) we fear that whilst the data items themselves may not be ‘new’ or ‘additional’ per se, that there application (as a result of GLDPM) to parties who do not currently provide those data items would mean that, for those parties, it would constitute ‘further data items being required’ from them.</w:t>
            </w:r>
          </w:p>
        </w:tc>
      </w:tr>
      <w:tr w:rsidR="00343E50" w:rsidRPr="00E90B42" w:rsidTr="00731A0D">
        <w:trPr>
          <w:cantSplit/>
          <w:trHeight w:val="267"/>
        </w:trPr>
        <w:tc>
          <w:tcPr>
            <w:tcW w:w="567" w:type="dxa"/>
          </w:tcPr>
          <w:p w:rsidR="00343E50" w:rsidRPr="00E90B42" w:rsidRDefault="00343E50" w:rsidP="00731A0D">
            <w:pPr>
              <w:rPr>
                <w:rFonts w:cs="Arial"/>
                <w:szCs w:val="22"/>
              </w:rPr>
            </w:pPr>
            <w:r w:rsidRPr="00E90B42">
              <w:rPr>
                <w:rFonts w:cs="Arial"/>
                <w:szCs w:val="22"/>
              </w:rPr>
              <w:lastRenderedPageBreak/>
              <w:t>2</w:t>
            </w:r>
          </w:p>
        </w:tc>
        <w:tc>
          <w:tcPr>
            <w:tcW w:w="3057" w:type="dxa"/>
          </w:tcPr>
          <w:p w:rsidR="00343E50" w:rsidRPr="00E90B42" w:rsidRDefault="00187F2E" w:rsidP="00187F2E">
            <w:pPr>
              <w:spacing w:before="120" w:after="120"/>
              <w:ind w:right="114"/>
              <w:rPr>
                <w:rFonts w:cs="Arial"/>
                <w:b/>
                <w:szCs w:val="22"/>
              </w:rPr>
            </w:pPr>
            <w:r w:rsidRPr="00E90B42">
              <w:rPr>
                <w:rFonts w:cs="Arial"/>
                <w:b/>
                <w:szCs w:val="22"/>
              </w:rPr>
              <w:t xml:space="preserve">Do you agree that no other Grid code changes are required to facilitate this process other than to allow the </w:t>
            </w:r>
            <w:r w:rsidRPr="00E90B42">
              <w:rPr>
                <w:rFonts w:cs="Arial"/>
                <w:b/>
                <w:i/>
                <w:szCs w:val="22"/>
              </w:rPr>
              <w:t>currently provided</w:t>
            </w:r>
            <w:r w:rsidRPr="00E90B42">
              <w:rPr>
                <w:rFonts w:cs="Arial"/>
                <w:b/>
                <w:szCs w:val="22"/>
              </w:rPr>
              <w:t xml:space="preserve"> data to be shared?</w:t>
            </w:r>
          </w:p>
        </w:tc>
        <w:tc>
          <w:tcPr>
            <w:tcW w:w="6336" w:type="dxa"/>
          </w:tcPr>
          <w:p w:rsidR="00467067" w:rsidRPr="00E90B42" w:rsidRDefault="00224355" w:rsidP="00731A0D">
            <w:pPr>
              <w:rPr>
                <w:rFonts w:cs="Arial"/>
                <w:szCs w:val="22"/>
              </w:rPr>
            </w:pPr>
            <w:r w:rsidRPr="00E90B42">
              <w:rPr>
                <w:rFonts w:cs="Arial"/>
                <w:szCs w:val="22"/>
              </w:rPr>
              <w:t xml:space="preserve">We do not agree </w:t>
            </w:r>
            <w:r w:rsidR="00467067" w:rsidRPr="00E90B42">
              <w:rPr>
                <w:rFonts w:cs="Arial"/>
                <w:szCs w:val="22"/>
              </w:rPr>
              <w:t xml:space="preserve">that no other Grid Code changes are required.  </w:t>
            </w:r>
          </w:p>
          <w:p w:rsidR="00467067" w:rsidRPr="00E90B42" w:rsidRDefault="00467067" w:rsidP="00731A0D">
            <w:pPr>
              <w:rPr>
                <w:rFonts w:cs="Arial"/>
                <w:szCs w:val="22"/>
              </w:rPr>
            </w:pPr>
          </w:p>
          <w:p w:rsidR="00187F2E" w:rsidRPr="00E90B42" w:rsidRDefault="00467067" w:rsidP="00731A0D">
            <w:pPr>
              <w:rPr>
                <w:rFonts w:cs="Arial"/>
                <w:szCs w:val="22"/>
              </w:rPr>
            </w:pPr>
            <w:r w:rsidRPr="00E90B42">
              <w:rPr>
                <w:rFonts w:cs="Arial"/>
                <w:szCs w:val="22"/>
              </w:rPr>
              <w:t>As noted in the consultation, the GLDPM is linked with TSOG and it will be necessary to ensure that the provision of data under these documents is undertaken (</w:t>
            </w:r>
            <w:proofErr w:type="spellStart"/>
            <w:r w:rsidRPr="00E90B42">
              <w:rPr>
                <w:rFonts w:cs="Arial"/>
                <w:szCs w:val="22"/>
              </w:rPr>
              <w:t>i</w:t>
            </w:r>
            <w:proofErr w:type="spellEnd"/>
            <w:r w:rsidRPr="00E90B42">
              <w:rPr>
                <w:rFonts w:cs="Arial"/>
                <w:szCs w:val="22"/>
              </w:rPr>
              <w:t>) in a non-discriminatory way and (ii) does not affect cross border trade.</w:t>
            </w:r>
          </w:p>
          <w:p w:rsidR="00467067" w:rsidRPr="00E90B42" w:rsidRDefault="00467067" w:rsidP="00731A0D">
            <w:pPr>
              <w:rPr>
                <w:rFonts w:cs="Arial"/>
                <w:szCs w:val="22"/>
              </w:rPr>
            </w:pPr>
          </w:p>
          <w:p w:rsidR="00473F3D" w:rsidRPr="00E90B42" w:rsidRDefault="00467067" w:rsidP="00731A0D">
            <w:pPr>
              <w:rPr>
                <w:rFonts w:cs="Arial"/>
                <w:szCs w:val="22"/>
              </w:rPr>
            </w:pPr>
            <w:r w:rsidRPr="00E90B42">
              <w:rPr>
                <w:rFonts w:cs="Arial"/>
                <w:szCs w:val="22"/>
              </w:rPr>
              <w:t xml:space="preserve">This will require that, for example, if data is required to be provided by the owner of a 10MW generator or 10MW of load anywhere in GB, that all equivalent owners (of 10MW generators or load respectively) provide the same data (and no more, or less) in the same way with the same frequency as all other equivalent plant (or load).  </w:t>
            </w:r>
          </w:p>
          <w:p w:rsidR="00473F3D" w:rsidRPr="00E90B42" w:rsidRDefault="00473F3D" w:rsidP="00731A0D">
            <w:pPr>
              <w:rPr>
                <w:rFonts w:cs="Arial"/>
                <w:szCs w:val="22"/>
              </w:rPr>
            </w:pPr>
          </w:p>
          <w:p w:rsidR="000C75C4" w:rsidRPr="00E90B42" w:rsidRDefault="00467067" w:rsidP="000C75C4">
            <w:pPr>
              <w:autoSpaceDE w:val="0"/>
              <w:autoSpaceDN w:val="0"/>
              <w:adjustRightInd w:val="0"/>
              <w:spacing w:line="240" w:lineRule="auto"/>
              <w:rPr>
                <w:rFonts w:cs="Arial"/>
                <w:szCs w:val="22"/>
              </w:rPr>
            </w:pPr>
            <w:r w:rsidRPr="00E90B42">
              <w:rPr>
                <w:rFonts w:cs="Arial"/>
                <w:szCs w:val="22"/>
              </w:rPr>
              <w:t>This is not the case today.  Differences exist within the Grid Code to</w:t>
            </w:r>
            <w:r w:rsidR="00473F3D" w:rsidRPr="00E90B42">
              <w:rPr>
                <w:rFonts w:cs="Arial"/>
                <w:szCs w:val="22"/>
              </w:rPr>
              <w:t xml:space="preserve">day in terms of data provisions from identical plant – if not addressed as part of the implementation </w:t>
            </w:r>
            <w:r w:rsidR="000C75C4" w:rsidRPr="00E90B42">
              <w:rPr>
                <w:rFonts w:cs="Arial"/>
                <w:szCs w:val="22"/>
              </w:rPr>
              <w:t xml:space="preserve">of </w:t>
            </w:r>
            <w:r w:rsidR="00473F3D" w:rsidRPr="00E90B42">
              <w:rPr>
                <w:rFonts w:cs="Arial"/>
                <w:szCs w:val="22"/>
              </w:rPr>
              <w:t>GLDPM and TSOG then cross-border trade will be affected.</w:t>
            </w:r>
            <w:r w:rsidR="000C75C4" w:rsidRPr="00E90B42">
              <w:rPr>
                <w:rFonts w:cs="Arial"/>
                <w:szCs w:val="22"/>
              </w:rPr>
              <w:t xml:space="preserve">  </w:t>
            </w:r>
          </w:p>
          <w:p w:rsidR="000C75C4" w:rsidRPr="00E90B42" w:rsidRDefault="000C75C4" w:rsidP="000C75C4">
            <w:pPr>
              <w:autoSpaceDE w:val="0"/>
              <w:autoSpaceDN w:val="0"/>
              <w:adjustRightInd w:val="0"/>
              <w:spacing w:line="240" w:lineRule="auto"/>
              <w:rPr>
                <w:rFonts w:cs="Arial"/>
                <w:szCs w:val="22"/>
              </w:rPr>
            </w:pPr>
          </w:p>
          <w:p w:rsidR="00467067" w:rsidRPr="00E90B42" w:rsidRDefault="000C75C4" w:rsidP="000C75C4">
            <w:pPr>
              <w:autoSpaceDE w:val="0"/>
              <w:autoSpaceDN w:val="0"/>
              <w:adjustRightInd w:val="0"/>
              <w:spacing w:line="240" w:lineRule="auto"/>
              <w:rPr>
                <w:rFonts w:cs="Arial"/>
                <w:szCs w:val="22"/>
              </w:rPr>
            </w:pPr>
            <w:r w:rsidRPr="00E90B42">
              <w:rPr>
                <w:rFonts w:cs="Arial"/>
                <w:szCs w:val="22"/>
              </w:rPr>
              <w:t>In addition it will also breach the UK Government’s ‘gold-plating’ policy (“</w:t>
            </w:r>
            <w:r w:rsidRPr="00E90B42">
              <w:rPr>
                <w:rFonts w:cs="Arial"/>
                <w:i/>
                <w:szCs w:val="22"/>
              </w:rPr>
              <w:t>retaining pre-existing UK standards where they are higher than those required by the Directive</w:t>
            </w:r>
            <w:r w:rsidRPr="00E90B42">
              <w:rPr>
                <w:rFonts w:cs="Arial"/>
                <w:szCs w:val="22"/>
              </w:rPr>
              <w:t>”).</w:t>
            </w:r>
          </w:p>
          <w:p w:rsidR="00473F3D" w:rsidRPr="00E90B42" w:rsidRDefault="00473F3D" w:rsidP="00731A0D">
            <w:pPr>
              <w:rPr>
                <w:rFonts w:cs="Arial"/>
                <w:szCs w:val="22"/>
              </w:rPr>
            </w:pPr>
          </w:p>
          <w:p w:rsidR="00473F3D" w:rsidRPr="00E90B42" w:rsidRDefault="00467067" w:rsidP="00473F3D">
            <w:pPr>
              <w:rPr>
                <w:rFonts w:cs="Arial"/>
                <w:szCs w:val="22"/>
              </w:rPr>
            </w:pPr>
            <w:r w:rsidRPr="00E90B42">
              <w:rPr>
                <w:rFonts w:cs="Arial"/>
                <w:szCs w:val="22"/>
              </w:rPr>
              <w:t>This therefore require</w:t>
            </w:r>
            <w:r w:rsidR="00473F3D" w:rsidRPr="00E90B42">
              <w:rPr>
                <w:rFonts w:cs="Arial"/>
                <w:szCs w:val="22"/>
              </w:rPr>
              <w:t>s</w:t>
            </w:r>
            <w:r w:rsidRPr="00E90B42">
              <w:rPr>
                <w:rFonts w:cs="Arial"/>
                <w:szCs w:val="22"/>
              </w:rPr>
              <w:t xml:space="preserve"> that existing Grid Code data requirements are amended in due course (as part of the GLDPM and TSOG implementation) to ensure that the legality </w:t>
            </w:r>
            <w:r w:rsidR="00473F3D" w:rsidRPr="00E90B42">
              <w:rPr>
                <w:rFonts w:cs="Arial"/>
                <w:szCs w:val="22"/>
              </w:rPr>
              <w:t>of them is achieved, by ensur</w:t>
            </w:r>
            <w:r w:rsidR="00301B91">
              <w:rPr>
                <w:rFonts w:cs="Arial"/>
                <w:szCs w:val="22"/>
              </w:rPr>
              <w:t>ing</w:t>
            </w:r>
            <w:bookmarkStart w:id="1" w:name="_GoBack"/>
            <w:bookmarkEnd w:id="1"/>
            <w:r w:rsidR="00473F3D" w:rsidRPr="00E90B42">
              <w:rPr>
                <w:rFonts w:cs="Arial"/>
                <w:szCs w:val="22"/>
              </w:rPr>
              <w:t xml:space="preserve"> exactly the same data obligations apply to the same network elements anywhere within the GB synchronous area. </w:t>
            </w:r>
            <w:r w:rsidRPr="00E90B42">
              <w:rPr>
                <w:rFonts w:cs="Arial"/>
                <w:szCs w:val="22"/>
              </w:rPr>
              <w:t xml:space="preserve"> </w:t>
            </w:r>
            <w:r w:rsidR="00187F2E" w:rsidRPr="00E90B42">
              <w:rPr>
                <w:rFonts w:cs="Arial"/>
                <w:szCs w:val="22"/>
              </w:rPr>
              <w:tab/>
            </w:r>
          </w:p>
          <w:p w:rsidR="00473F3D" w:rsidRPr="00E90B42" w:rsidRDefault="00473F3D" w:rsidP="00473F3D">
            <w:pPr>
              <w:rPr>
                <w:rFonts w:cs="Arial"/>
                <w:szCs w:val="22"/>
              </w:rPr>
            </w:pPr>
          </w:p>
          <w:p w:rsidR="00343E50" w:rsidRPr="00E90B42" w:rsidRDefault="00467067" w:rsidP="00473F3D">
            <w:pPr>
              <w:rPr>
                <w:rFonts w:cs="Arial"/>
                <w:szCs w:val="22"/>
              </w:rPr>
            </w:pPr>
            <w:r w:rsidRPr="00E90B42">
              <w:rPr>
                <w:rFonts w:cs="Arial"/>
                <w:szCs w:val="22"/>
              </w:rPr>
              <w:t xml:space="preserve">We have seen no evidence to date that </w:t>
            </w:r>
            <w:r w:rsidR="00473F3D" w:rsidRPr="00E90B42">
              <w:rPr>
                <w:rFonts w:cs="Arial"/>
                <w:szCs w:val="22"/>
              </w:rPr>
              <w:t xml:space="preserve">this matter has been accepted within the implementation arrangements for the EU Network Codes, and in particular CACM (from which GLDPM arises) and TSOG. </w:t>
            </w:r>
            <w:r w:rsidRPr="00E90B42">
              <w:rPr>
                <w:rFonts w:cs="Arial"/>
                <w:szCs w:val="22"/>
              </w:rPr>
              <w:t xml:space="preserve"> </w:t>
            </w:r>
          </w:p>
        </w:tc>
      </w:tr>
      <w:tr w:rsidR="00343E50" w:rsidRPr="00E90B42" w:rsidTr="00731A0D">
        <w:trPr>
          <w:cantSplit/>
          <w:trHeight w:val="267"/>
        </w:trPr>
        <w:tc>
          <w:tcPr>
            <w:tcW w:w="567" w:type="dxa"/>
          </w:tcPr>
          <w:p w:rsidR="00343E50" w:rsidRPr="00E90B42" w:rsidRDefault="00343E50" w:rsidP="00731A0D">
            <w:pPr>
              <w:rPr>
                <w:rFonts w:cs="Arial"/>
                <w:szCs w:val="22"/>
              </w:rPr>
            </w:pPr>
            <w:r w:rsidRPr="00E90B42">
              <w:rPr>
                <w:rFonts w:cs="Arial"/>
                <w:szCs w:val="22"/>
              </w:rPr>
              <w:lastRenderedPageBreak/>
              <w:t>3</w:t>
            </w:r>
          </w:p>
        </w:tc>
        <w:tc>
          <w:tcPr>
            <w:tcW w:w="3057" w:type="dxa"/>
          </w:tcPr>
          <w:p w:rsidR="00343E50" w:rsidRPr="00E90B42" w:rsidRDefault="00187F2E" w:rsidP="00187F2E">
            <w:pPr>
              <w:spacing w:before="120" w:after="120"/>
              <w:ind w:left="34" w:right="114"/>
              <w:rPr>
                <w:rFonts w:cs="Arial"/>
                <w:b/>
                <w:szCs w:val="22"/>
              </w:rPr>
            </w:pPr>
            <w:r w:rsidRPr="00E90B42">
              <w:rPr>
                <w:rFonts w:cs="Arial"/>
                <w:b/>
                <w:szCs w:val="22"/>
              </w:rPr>
              <w:t>Do you have any other comments on the implementation of the GLDPM?</w:t>
            </w:r>
          </w:p>
        </w:tc>
        <w:tc>
          <w:tcPr>
            <w:tcW w:w="6336" w:type="dxa"/>
          </w:tcPr>
          <w:p w:rsidR="00A666DB" w:rsidRPr="00E90B42" w:rsidRDefault="00CA1A2C" w:rsidP="00731A0D">
            <w:pPr>
              <w:rPr>
                <w:rFonts w:cs="Arial"/>
                <w:szCs w:val="22"/>
              </w:rPr>
            </w:pPr>
            <w:r w:rsidRPr="00E90B42">
              <w:rPr>
                <w:rFonts w:cs="Arial"/>
                <w:szCs w:val="22"/>
              </w:rPr>
              <w:t xml:space="preserve">We note </w:t>
            </w:r>
            <w:proofErr w:type="spellStart"/>
            <w:r w:rsidRPr="00E90B42">
              <w:rPr>
                <w:rFonts w:cs="Arial"/>
                <w:szCs w:val="22"/>
              </w:rPr>
              <w:t>Ofgem’s</w:t>
            </w:r>
            <w:proofErr w:type="spellEnd"/>
            <w:r w:rsidRPr="00E90B42">
              <w:rPr>
                <w:rFonts w:cs="Arial"/>
                <w:szCs w:val="22"/>
              </w:rPr>
              <w:t xml:space="preserve"> letter of 10</w:t>
            </w:r>
            <w:r w:rsidRPr="00E90B42">
              <w:rPr>
                <w:rFonts w:cs="Arial"/>
                <w:szCs w:val="22"/>
                <w:vertAlign w:val="superscript"/>
              </w:rPr>
              <w:t>th</w:t>
            </w:r>
            <w:r w:rsidRPr="00E90B42">
              <w:rPr>
                <w:rFonts w:cs="Arial"/>
                <w:szCs w:val="22"/>
              </w:rPr>
              <w:t xml:space="preserve"> January 2017 setting out that they </w:t>
            </w:r>
            <w:r w:rsidR="00A666DB" w:rsidRPr="00E90B42">
              <w:rPr>
                <w:rFonts w:cs="Arial"/>
                <w:szCs w:val="22"/>
              </w:rPr>
              <w:t>(</w:t>
            </w:r>
            <w:r w:rsidRPr="00E90B42">
              <w:rPr>
                <w:rFonts w:cs="Arial"/>
                <w:szCs w:val="22"/>
              </w:rPr>
              <w:t xml:space="preserve">and the other NRAs) </w:t>
            </w:r>
            <w:r w:rsidR="00A666DB" w:rsidRPr="00E90B42">
              <w:rPr>
                <w:rFonts w:cs="Arial"/>
                <w:szCs w:val="22"/>
              </w:rPr>
              <w:t>had approved the 13</w:t>
            </w:r>
            <w:r w:rsidR="00A666DB" w:rsidRPr="00E90B42">
              <w:rPr>
                <w:rFonts w:cs="Arial"/>
                <w:szCs w:val="22"/>
                <w:vertAlign w:val="superscript"/>
              </w:rPr>
              <w:t>th</w:t>
            </w:r>
            <w:r w:rsidR="00A666DB" w:rsidRPr="00E90B42">
              <w:rPr>
                <w:rFonts w:cs="Arial"/>
                <w:szCs w:val="22"/>
              </w:rPr>
              <w:t xml:space="preserve"> May 2016 version of the GLDPM (which is the document that is subject to this consultation). </w:t>
            </w:r>
          </w:p>
          <w:p w:rsidR="00A666DB" w:rsidRPr="00E90B42" w:rsidRDefault="00A666DB" w:rsidP="00731A0D">
            <w:pPr>
              <w:rPr>
                <w:rFonts w:cs="Arial"/>
                <w:szCs w:val="22"/>
              </w:rPr>
            </w:pPr>
          </w:p>
          <w:p w:rsidR="00343E50" w:rsidRPr="00E90B42" w:rsidRDefault="00A666DB" w:rsidP="00731A0D">
            <w:pPr>
              <w:rPr>
                <w:rFonts w:cs="Arial"/>
                <w:szCs w:val="22"/>
              </w:rPr>
            </w:pPr>
            <w:r w:rsidRPr="00E90B42">
              <w:rPr>
                <w:rFonts w:cs="Arial"/>
                <w:szCs w:val="22"/>
              </w:rPr>
              <w:t xml:space="preserve">As we have highlighted </w:t>
            </w:r>
            <w:r w:rsidR="006B1E7B" w:rsidRPr="00E90B42">
              <w:rPr>
                <w:rFonts w:cs="Arial"/>
                <w:szCs w:val="22"/>
              </w:rPr>
              <w:t>(</w:t>
            </w:r>
            <w:proofErr w:type="spellStart"/>
            <w:r w:rsidR="006B1E7B" w:rsidRPr="00E90B42">
              <w:rPr>
                <w:rFonts w:cs="Arial"/>
                <w:szCs w:val="22"/>
              </w:rPr>
              <w:t>i</w:t>
            </w:r>
            <w:proofErr w:type="spellEnd"/>
            <w:r w:rsidR="006B1E7B" w:rsidRPr="00E90B42">
              <w:rPr>
                <w:rFonts w:cs="Arial"/>
                <w:szCs w:val="22"/>
              </w:rPr>
              <w:t xml:space="preserve">) </w:t>
            </w:r>
            <w:r w:rsidRPr="00E90B42">
              <w:rPr>
                <w:rFonts w:cs="Arial"/>
                <w:szCs w:val="22"/>
              </w:rPr>
              <w:t xml:space="preserve">at the (GB) GLDPM mapping workshop discussions </w:t>
            </w:r>
            <w:r w:rsidR="006B1E7B" w:rsidRPr="00E90B42">
              <w:rPr>
                <w:rFonts w:cs="Arial"/>
                <w:szCs w:val="22"/>
              </w:rPr>
              <w:t xml:space="preserve">and (ii) the CUSC Panel </w:t>
            </w:r>
            <w:r w:rsidRPr="00E90B42">
              <w:rPr>
                <w:rFonts w:cs="Arial"/>
                <w:szCs w:val="22"/>
              </w:rPr>
              <w:t xml:space="preserve">last summer, a core element of the implementation of the GLDPM is the ‘implementation rules’ to be set by the responsible TSO as, according to Article 4(1), we are obliged to respect those rules when we provide data under the GLDPM. </w:t>
            </w:r>
          </w:p>
          <w:p w:rsidR="006B1E7B" w:rsidRPr="00E90B42" w:rsidRDefault="006B1E7B" w:rsidP="00731A0D">
            <w:pPr>
              <w:rPr>
                <w:rFonts w:cs="Arial"/>
                <w:szCs w:val="22"/>
              </w:rPr>
            </w:pPr>
          </w:p>
          <w:p w:rsidR="006B1E7B" w:rsidRPr="00E90B42" w:rsidRDefault="006B1E7B" w:rsidP="00731A0D">
            <w:pPr>
              <w:rPr>
                <w:rFonts w:cs="Arial"/>
                <w:szCs w:val="22"/>
              </w:rPr>
            </w:pPr>
            <w:r w:rsidRPr="00E90B42">
              <w:rPr>
                <w:rFonts w:cs="Arial"/>
                <w:szCs w:val="22"/>
              </w:rPr>
              <w:t>National Grid advised the industry</w:t>
            </w:r>
            <w:r w:rsidR="00961F80" w:rsidRPr="00E90B42">
              <w:rPr>
                <w:rFonts w:cs="Arial"/>
                <w:szCs w:val="22"/>
              </w:rPr>
              <w:t xml:space="preserve"> (via the CUSC Panel)</w:t>
            </w:r>
            <w:r w:rsidRPr="00E90B42">
              <w:rPr>
                <w:rFonts w:cs="Arial"/>
                <w:szCs w:val="22"/>
              </w:rPr>
              <w:t xml:space="preserve"> last August, with respect to the implementation rules (in response to questions we posed in July) that:</w:t>
            </w:r>
          </w:p>
          <w:p w:rsidR="006B1E7B" w:rsidRPr="00E90B42" w:rsidRDefault="006B1E7B" w:rsidP="006B1E7B">
            <w:pPr>
              <w:numPr>
                <w:ilvl w:val="0"/>
                <w:numId w:val="5"/>
              </w:numPr>
              <w:spacing w:before="100" w:beforeAutospacing="1" w:after="100" w:afterAutospacing="1" w:line="240" w:lineRule="auto"/>
              <w:ind w:left="0"/>
              <w:rPr>
                <w:rFonts w:cs="Arial"/>
                <w:i/>
                <w:szCs w:val="22"/>
              </w:rPr>
            </w:pPr>
            <w:r w:rsidRPr="00E90B42">
              <w:rPr>
                <w:rFonts w:cs="Arial"/>
                <w:i/>
                <w:szCs w:val="22"/>
              </w:rPr>
              <w:t>”When will National Grid be preparing these GLDPM implementation rules for GB;</w:t>
            </w:r>
          </w:p>
          <w:p w:rsidR="006B1E7B" w:rsidRPr="00E90B42" w:rsidRDefault="006B1E7B" w:rsidP="006B1E7B">
            <w:pPr>
              <w:rPr>
                <w:rFonts w:cs="Arial"/>
                <w:i/>
                <w:szCs w:val="22"/>
              </w:rPr>
            </w:pPr>
            <w:r w:rsidRPr="00E90B42">
              <w:rPr>
                <w:rFonts w:cs="Arial"/>
                <w:i/>
                <w:color w:val="FF0000"/>
                <w:szCs w:val="22"/>
              </w:rPr>
              <w:t>This will be addressed in the autumn with a view to have a draft set of rules, developed with stakeholder involvement, ready by January in accordance with the methodology</w:t>
            </w:r>
          </w:p>
          <w:p w:rsidR="006B1E7B" w:rsidRPr="00E90B42" w:rsidRDefault="006B1E7B" w:rsidP="006B1E7B">
            <w:pPr>
              <w:numPr>
                <w:ilvl w:val="0"/>
                <w:numId w:val="6"/>
              </w:numPr>
              <w:spacing w:before="100" w:beforeAutospacing="1" w:after="100" w:afterAutospacing="1" w:line="240" w:lineRule="auto"/>
              <w:ind w:left="0"/>
              <w:rPr>
                <w:rFonts w:cs="Arial"/>
                <w:i/>
                <w:szCs w:val="22"/>
              </w:rPr>
            </w:pPr>
            <w:r w:rsidRPr="00E90B42">
              <w:rPr>
                <w:rFonts w:cs="Arial"/>
                <w:i/>
                <w:szCs w:val="22"/>
              </w:rPr>
              <w:t>When will stakeholders be involved in that work;</w:t>
            </w:r>
          </w:p>
          <w:p w:rsidR="006B1E7B" w:rsidRPr="00E90B42" w:rsidRDefault="006B1E7B" w:rsidP="006B1E7B">
            <w:pPr>
              <w:rPr>
                <w:rFonts w:cs="Arial"/>
                <w:i/>
                <w:szCs w:val="22"/>
              </w:rPr>
            </w:pPr>
            <w:r w:rsidRPr="00E90B42">
              <w:rPr>
                <w:rFonts w:cs="Arial"/>
                <w:i/>
                <w:color w:val="FF0000"/>
                <w:szCs w:val="22"/>
              </w:rPr>
              <w:t>As above, the draft rules will be developed with SH input and are expected to be based as much as possible on existing practices, if formal consultation is required/requested that will be addressed early in the new year”</w:t>
            </w:r>
          </w:p>
          <w:p w:rsidR="006B1E7B" w:rsidRPr="00E90B42" w:rsidRDefault="006B1E7B" w:rsidP="00731A0D">
            <w:pPr>
              <w:rPr>
                <w:rFonts w:cs="Arial"/>
                <w:szCs w:val="22"/>
              </w:rPr>
            </w:pPr>
          </w:p>
          <w:p w:rsidR="00187F2E" w:rsidRPr="00E90B42" w:rsidRDefault="006B1E7B" w:rsidP="00731A0D">
            <w:pPr>
              <w:rPr>
                <w:rFonts w:cs="Arial"/>
                <w:szCs w:val="22"/>
              </w:rPr>
            </w:pPr>
            <w:r w:rsidRPr="00E90B42">
              <w:rPr>
                <w:rFonts w:cs="Arial"/>
                <w:szCs w:val="22"/>
              </w:rPr>
              <w:t xml:space="preserve">We note that, to date, no draft set of the implementation rules have been provided to GB stakeholders – this has impeded our ability to respond to this </w:t>
            </w:r>
            <w:r w:rsidR="006B4703" w:rsidRPr="00E90B42">
              <w:rPr>
                <w:rFonts w:cs="Arial"/>
                <w:szCs w:val="22"/>
              </w:rPr>
              <w:t xml:space="preserve">GLDPM </w:t>
            </w:r>
            <w:r w:rsidRPr="00E90B42">
              <w:rPr>
                <w:rFonts w:cs="Arial"/>
                <w:szCs w:val="22"/>
              </w:rPr>
              <w:t xml:space="preserve">consultation. </w:t>
            </w:r>
          </w:p>
          <w:p w:rsidR="006B1E7B" w:rsidRPr="00E90B42" w:rsidRDefault="006B1E7B" w:rsidP="00731A0D">
            <w:pPr>
              <w:rPr>
                <w:rFonts w:cs="Arial"/>
                <w:szCs w:val="22"/>
              </w:rPr>
            </w:pPr>
          </w:p>
          <w:p w:rsidR="00187F2E" w:rsidRPr="00E90B42" w:rsidRDefault="006B1E7B" w:rsidP="006B1E7B">
            <w:pPr>
              <w:rPr>
                <w:rFonts w:cs="Arial"/>
                <w:szCs w:val="22"/>
              </w:rPr>
            </w:pPr>
            <w:r w:rsidRPr="00E90B42">
              <w:rPr>
                <w:rFonts w:cs="Arial"/>
                <w:szCs w:val="22"/>
              </w:rPr>
              <w:t xml:space="preserve">Notwithstanding that, we expect (as National Grid stated last August) to be fully engaged (with other stakeholders) in the drafting of the implementation rules in due course. </w:t>
            </w:r>
          </w:p>
        </w:tc>
      </w:tr>
    </w:tbl>
    <w:p w:rsidR="00594962" w:rsidRPr="00E90B42" w:rsidRDefault="00594962" w:rsidP="00187F2E">
      <w:pPr>
        <w:rPr>
          <w:rFonts w:cs="Arial"/>
          <w:szCs w:val="22"/>
        </w:rPr>
      </w:pPr>
    </w:p>
    <w:sectPr w:rsidR="00594962" w:rsidRPr="00E90B42" w:rsidSect="00423A90">
      <w:type w:val="continuous"/>
      <w:pgSz w:w="11905" w:h="16837" w:code="9"/>
      <w:pgMar w:top="816" w:right="1440" w:bottom="1259" w:left="1440" w:header="448" w:footer="4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ED0" w:rsidRDefault="002A1ED0">
      <w:r>
        <w:separator/>
      </w:r>
    </w:p>
  </w:endnote>
  <w:endnote w:type="continuationSeparator" w:id="0">
    <w:p w:rsidR="002A1ED0" w:rsidRDefault="002A1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ED0" w:rsidRDefault="002A1ED0">
      <w:r>
        <w:separator/>
      </w:r>
    </w:p>
  </w:footnote>
  <w:footnote w:type="continuationSeparator" w:id="0">
    <w:p w:rsidR="002A1ED0" w:rsidRDefault="002A1E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F44D5"/>
    <w:multiLevelType w:val="multilevel"/>
    <w:tmpl w:val="DF149E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81D26AE"/>
    <w:multiLevelType w:val="multilevel"/>
    <w:tmpl w:val="23967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nsid w:val="6B8F0AF4"/>
    <w:multiLevelType w:val="hybridMultilevel"/>
    <w:tmpl w:val="C88883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5">
    <w:nsid w:val="6CBA6CE8"/>
    <w:multiLevelType w:val="singleLevel"/>
    <w:tmpl w:val="778E0C9A"/>
    <w:lvl w:ilvl="0">
      <w:start w:val="1"/>
      <w:numFmt w:val="lowerLetter"/>
      <w:lvlText w:val="(%1)"/>
      <w:lvlJc w:val="left"/>
      <w:pPr>
        <w:tabs>
          <w:tab w:val="num" w:pos="504"/>
        </w:tabs>
        <w:ind w:left="504" w:hanging="432"/>
      </w:pPr>
      <w:rPr>
        <w:rFonts w:hint="default"/>
      </w:rPr>
    </w:lvl>
  </w:abstractNum>
  <w:num w:numId="1">
    <w:abstractNumId w:val="2"/>
  </w:num>
  <w:num w:numId="2">
    <w:abstractNumId w:val="3"/>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86"/>
    <w:rsid w:val="00003FF4"/>
    <w:rsid w:val="000245C7"/>
    <w:rsid w:val="00027334"/>
    <w:rsid w:val="00031630"/>
    <w:rsid w:val="0003213A"/>
    <w:rsid w:val="00057443"/>
    <w:rsid w:val="000642CC"/>
    <w:rsid w:val="00064F1E"/>
    <w:rsid w:val="00083788"/>
    <w:rsid w:val="000840E3"/>
    <w:rsid w:val="00087204"/>
    <w:rsid w:val="00091DE7"/>
    <w:rsid w:val="000C75C4"/>
    <w:rsid w:val="000F4E7A"/>
    <w:rsid w:val="00100103"/>
    <w:rsid w:val="0010032A"/>
    <w:rsid w:val="0012208D"/>
    <w:rsid w:val="00124A50"/>
    <w:rsid w:val="00132BAC"/>
    <w:rsid w:val="001628C2"/>
    <w:rsid w:val="00187F2E"/>
    <w:rsid w:val="00196A22"/>
    <w:rsid w:val="001A38EA"/>
    <w:rsid w:val="001A571E"/>
    <w:rsid w:val="001D2A93"/>
    <w:rsid w:val="001E44D8"/>
    <w:rsid w:val="001E6AE5"/>
    <w:rsid w:val="002042CC"/>
    <w:rsid w:val="002060CE"/>
    <w:rsid w:val="0021533A"/>
    <w:rsid w:val="00224355"/>
    <w:rsid w:val="002362A8"/>
    <w:rsid w:val="002368F6"/>
    <w:rsid w:val="00242625"/>
    <w:rsid w:val="00245FF6"/>
    <w:rsid w:val="00253EEF"/>
    <w:rsid w:val="002A1ED0"/>
    <w:rsid w:val="002A6DA8"/>
    <w:rsid w:val="002A7646"/>
    <w:rsid w:val="002C1202"/>
    <w:rsid w:val="002E102B"/>
    <w:rsid w:val="002E4C32"/>
    <w:rsid w:val="002F28F3"/>
    <w:rsid w:val="00301B91"/>
    <w:rsid w:val="00303C2B"/>
    <w:rsid w:val="00306436"/>
    <w:rsid w:val="003113C6"/>
    <w:rsid w:val="00341E2C"/>
    <w:rsid w:val="00341ED6"/>
    <w:rsid w:val="00343E50"/>
    <w:rsid w:val="00352E12"/>
    <w:rsid w:val="00360A16"/>
    <w:rsid w:val="003721E7"/>
    <w:rsid w:val="00376F00"/>
    <w:rsid w:val="003F230F"/>
    <w:rsid w:val="00413871"/>
    <w:rsid w:val="00413FDD"/>
    <w:rsid w:val="00414685"/>
    <w:rsid w:val="00423A90"/>
    <w:rsid w:val="00442BCE"/>
    <w:rsid w:val="00467067"/>
    <w:rsid w:val="0047334D"/>
    <w:rsid w:val="00473F3D"/>
    <w:rsid w:val="00476F53"/>
    <w:rsid w:val="00481DC0"/>
    <w:rsid w:val="00487486"/>
    <w:rsid w:val="00494154"/>
    <w:rsid w:val="004A78DB"/>
    <w:rsid w:val="004B2969"/>
    <w:rsid w:val="004E7A2B"/>
    <w:rsid w:val="004F3D8B"/>
    <w:rsid w:val="00502C4E"/>
    <w:rsid w:val="005226D7"/>
    <w:rsid w:val="005336C5"/>
    <w:rsid w:val="00551D62"/>
    <w:rsid w:val="00594962"/>
    <w:rsid w:val="005A6B07"/>
    <w:rsid w:val="005C64BE"/>
    <w:rsid w:val="006053B6"/>
    <w:rsid w:val="0063389C"/>
    <w:rsid w:val="00652883"/>
    <w:rsid w:val="00655166"/>
    <w:rsid w:val="006720B4"/>
    <w:rsid w:val="0067767F"/>
    <w:rsid w:val="006965EB"/>
    <w:rsid w:val="006A3790"/>
    <w:rsid w:val="006B12C9"/>
    <w:rsid w:val="006B1E7B"/>
    <w:rsid w:val="006B4703"/>
    <w:rsid w:val="006B60E2"/>
    <w:rsid w:val="006B6DEA"/>
    <w:rsid w:val="006C1B70"/>
    <w:rsid w:val="006D14B9"/>
    <w:rsid w:val="006D73C3"/>
    <w:rsid w:val="006F7239"/>
    <w:rsid w:val="007043A3"/>
    <w:rsid w:val="00711FF7"/>
    <w:rsid w:val="00731325"/>
    <w:rsid w:val="00731A0D"/>
    <w:rsid w:val="00737AF9"/>
    <w:rsid w:val="00741E06"/>
    <w:rsid w:val="00745A4F"/>
    <w:rsid w:val="007526B5"/>
    <w:rsid w:val="00762462"/>
    <w:rsid w:val="007640EA"/>
    <w:rsid w:val="00772927"/>
    <w:rsid w:val="00787D4F"/>
    <w:rsid w:val="00791E12"/>
    <w:rsid w:val="00792155"/>
    <w:rsid w:val="00794648"/>
    <w:rsid w:val="007A2ED3"/>
    <w:rsid w:val="007A53C3"/>
    <w:rsid w:val="007E526A"/>
    <w:rsid w:val="007F0ED7"/>
    <w:rsid w:val="007F68E5"/>
    <w:rsid w:val="007F71E1"/>
    <w:rsid w:val="00803051"/>
    <w:rsid w:val="0080459B"/>
    <w:rsid w:val="00813AC0"/>
    <w:rsid w:val="00835EAC"/>
    <w:rsid w:val="00891EDA"/>
    <w:rsid w:val="0089771B"/>
    <w:rsid w:val="008A3746"/>
    <w:rsid w:val="008B2356"/>
    <w:rsid w:val="008E0C16"/>
    <w:rsid w:val="008F1DF3"/>
    <w:rsid w:val="00904E27"/>
    <w:rsid w:val="00907E5B"/>
    <w:rsid w:val="009179DF"/>
    <w:rsid w:val="0093010B"/>
    <w:rsid w:val="009358EB"/>
    <w:rsid w:val="00957999"/>
    <w:rsid w:val="00961F80"/>
    <w:rsid w:val="009646AD"/>
    <w:rsid w:val="0097582C"/>
    <w:rsid w:val="00976E28"/>
    <w:rsid w:val="0099115E"/>
    <w:rsid w:val="009963D4"/>
    <w:rsid w:val="009971AD"/>
    <w:rsid w:val="009B3A78"/>
    <w:rsid w:val="009C00B0"/>
    <w:rsid w:val="009D1890"/>
    <w:rsid w:val="009E5D74"/>
    <w:rsid w:val="00A06C17"/>
    <w:rsid w:val="00A11AA6"/>
    <w:rsid w:val="00A13D11"/>
    <w:rsid w:val="00A3211E"/>
    <w:rsid w:val="00A550C3"/>
    <w:rsid w:val="00A666DB"/>
    <w:rsid w:val="00A70311"/>
    <w:rsid w:val="00A72997"/>
    <w:rsid w:val="00A733EA"/>
    <w:rsid w:val="00A77D2B"/>
    <w:rsid w:val="00AA0868"/>
    <w:rsid w:val="00AE69B6"/>
    <w:rsid w:val="00AE7BC0"/>
    <w:rsid w:val="00AF3627"/>
    <w:rsid w:val="00B13174"/>
    <w:rsid w:val="00B27176"/>
    <w:rsid w:val="00B27C81"/>
    <w:rsid w:val="00B4122C"/>
    <w:rsid w:val="00B449D5"/>
    <w:rsid w:val="00B520FB"/>
    <w:rsid w:val="00B53B86"/>
    <w:rsid w:val="00B6019C"/>
    <w:rsid w:val="00B77ABB"/>
    <w:rsid w:val="00B82D18"/>
    <w:rsid w:val="00B85B61"/>
    <w:rsid w:val="00B927C6"/>
    <w:rsid w:val="00B95C8A"/>
    <w:rsid w:val="00BA26FA"/>
    <w:rsid w:val="00BB7D02"/>
    <w:rsid w:val="00BD77BF"/>
    <w:rsid w:val="00BE3373"/>
    <w:rsid w:val="00BE7EBF"/>
    <w:rsid w:val="00BF1F85"/>
    <w:rsid w:val="00BF4072"/>
    <w:rsid w:val="00C05471"/>
    <w:rsid w:val="00C11CC8"/>
    <w:rsid w:val="00C15869"/>
    <w:rsid w:val="00C17009"/>
    <w:rsid w:val="00C20D54"/>
    <w:rsid w:val="00C22DE6"/>
    <w:rsid w:val="00C23B41"/>
    <w:rsid w:val="00C24BD9"/>
    <w:rsid w:val="00C27790"/>
    <w:rsid w:val="00C33567"/>
    <w:rsid w:val="00C34C5F"/>
    <w:rsid w:val="00C64BCE"/>
    <w:rsid w:val="00C66EFE"/>
    <w:rsid w:val="00C67ACC"/>
    <w:rsid w:val="00C90785"/>
    <w:rsid w:val="00CA1A2C"/>
    <w:rsid w:val="00CA3243"/>
    <w:rsid w:val="00CA3EC6"/>
    <w:rsid w:val="00CC1E11"/>
    <w:rsid w:val="00CC5812"/>
    <w:rsid w:val="00CF1CC8"/>
    <w:rsid w:val="00D0732D"/>
    <w:rsid w:val="00D31C6F"/>
    <w:rsid w:val="00D51151"/>
    <w:rsid w:val="00D5712D"/>
    <w:rsid w:val="00D6191B"/>
    <w:rsid w:val="00D91374"/>
    <w:rsid w:val="00D91F5C"/>
    <w:rsid w:val="00D94547"/>
    <w:rsid w:val="00D96B36"/>
    <w:rsid w:val="00DA7997"/>
    <w:rsid w:val="00DC2D15"/>
    <w:rsid w:val="00DC3DC3"/>
    <w:rsid w:val="00DC69E7"/>
    <w:rsid w:val="00DD20B9"/>
    <w:rsid w:val="00DD2906"/>
    <w:rsid w:val="00DD79CA"/>
    <w:rsid w:val="00DF54AB"/>
    <w:rsid w:val="00E04AB4"/>
    <w:rsid w:val="00E26718"/>
    <w:rsid w:val="00E27292"/>
    <w:rsid w:val="00E36ECF"/>
    <w:rsid w:val="00E52628"/>
    <w:rsid w:val="00E62A86"/>
    <w:rsid w:val="00E743D1"/>
    <w:rsid w:val="00E90B42"/>
    <w:rsid w:val="00E96D23"/>
    <w:rsid w:val="00EC3BE1"/>
    <w:rsid w:val="00ED33B0"/>
    <w:rsid w:val="00EF6675"/>
    <w:rsid w:val="00F0297E"/>
    <w:rsid w:val="00F06905"/>
    <w:rsid w:val="00F23DC8"/>
    <w:rsid w:val="00F324F3"/>
    <w:rsid w:val="00F40B9A"/>
    <w:rsid w:val="00F553AA"/>
    <w:rsid w:val="00F832F5"/>
    <w:rsid w:val="00F83765"/>
    <w:rsid w:val="00F8432E"/>
    <w:rsid w:val="00F95779"/>
    <w:rsid w:val="00FA07C6"/>
    <w:rsid w:val="00FB2695"/>
    <w:rsid w:val="00FC2F0A"/>
    <w:rsid w:val="00FE28C4"/>
    <w:rsid w:val="00FF2EAE"/>
    <w:rsid w:val="00FF58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2A86"/>
    <w:pPr>
      <w:spacing w:line="300" w:lineRule="atLeast"/>
    </w:pPr>
    <w:rPr>
      <w:rFonts w:ascii="Arial" w:hAnsi="Arial"/>
      <w:sz w:val="22"/>
      <w:szCs w:val="24"/>
    </w:rPr>
  </w:style>
  <w:style w:type="paragraph" w:styleId="Heading1">
    <w:name w:val="heading 1"/>
    <w:basedOn w:val="Normal"/>
    <w:next w:val="Normal"/>
    <w:link w:val="Heading1Char"/>
    <w:qFormat/>
    <w:rsid w:val="00E62A86"/>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qFormat/>
    <w:rsid w:val="00E62A86"/>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qFormat/>
    <w:rsid w:val="00E62A86"/>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qFormat/>
    <w:rsid w:val="00E62A86"/>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qFormat/>
    <w:rsid w:val="00E62A86"/>
    <w:pPr>
      <w:numPr>
        <w:ilvl w:val="4"/>
        <w:numId w:val="1"/>
      </w:numPr>
      <w:spacing w:before="240" w:after="60" w:line="240" w:lineRule="auto"/>
      <w:jc w:val="both"/>
      <w:outlineLvl w:val="4"/>
    </w:pPr>
    <w:rPr>
      <w:bCs/>
      <w:iCs/>
      <w:szCs w:val="26"/>
    </w:rPr>
  </w:style>
  <w:style w:type="paragraph" w:styleId="Heading6">
    <w:name w:val="heading 6"/>
    <w:basedOn w:val="Normal"/>
    <w:next w:val="Normal"/>
    <w:qFormat/>
    <w:rsid w:val="00E62A86"/>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qFormat/>
    <w:rsid w:val="00E62A86"/>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qFormat/>
    <w:rsid w:val="00E62A86"/>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qFormat/>
    <w:rsid w:val="00E62A86"/>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62A86"/>
    <w:rPr>
      <w:rFonts w:ascii="Arial Bold" w:hAnsi="Arial Bold" w:cs="Arial"/>
      <w:bCs/>
      <w:color w:val="FFFFFF"/>
      <w:kern w:val="32"/>
      <w:sz w:val="24"/>
      <w:szCs w:val="32"/>
      <w:lang w:val="en-GB" w:eastAsia="en-GB" w:bidi="ar-SA"/>
    </w:rPr>
  </w:style>
  <w:style w:type="paragraph" w:styleId="BodyText">
    <w:name w:val="Body Text"/>
    <w:basedOn w:val="Normal"/>
    <w:rsid w:val="00E62A86"/>
    <w:pPr>
      <w:spacing w:after="120"/>
    </w:pPr>
  </w:style>
  <w:style w:type="character" w:styleId="Hyperlink">
    <w:name w:val="Hyperlink"/>
    <w:rsid w:val="00E62A86"/>
    <w:rPr>
      <w:color w:val="0000FF"/>
      <w:u w:val="single"/>
    </w:rPr>
  </w:style>
  <w:style w:type="character" w:styleId="CommentReference">
    <w:name w:val="annotation reference"/>
    <w:semiHidden/>
    <w:rsid w:val="00E62A86"/>
    <w:rPr>
      <w:sz w:val="16"/>
      <w:szCs w:val="16"/>
    </w:rPr>
  </w:style>
  <w:style w:type="paragraph" w:styleId="CommentText">
    <w:name w:val="annotation text"/>
    <w:basedOn w:val="Normal"/>
    <w:semiHidden/>
    <w:rsid w:val="00E62A86"/>
    <w:rPr>
      <w:szCs w:val="20"/>
    </w:rPr>
  </w:style>
  <w:style w:type="numbering" w:styleId="111111">
    <w:name w:val="Outline List 2"/>
    <w:basedOn w:val="NoList"/>
    <w:semiHidden/>
    <w:rsid w:val="00F832F5"/>
    <w:pPr>
      <w:numPr>
        <w:numId w:val="2"/>
      </w:numPr>
    </w:pPr>
  </w:style>
  <w:style w:type="paragraph" w:styleId="FootnoteText">
    <w:name w:val="footnote text"/>
    <w:basedOn w:val="Normal"/>
    <w:semiHidden/>
    <w:rsid w:val="002368F6"/>
    <w:rPr>
      <w:sz w:val="20"/>
      <w:szCs w:val="20"/>
    </w:rPr>
  </w:style>
  <w:style w:type="character" w:styleId="FootnoteReference">
    <w:name w:val="footnote reference"/>
    <w:semiHidden/>
    <w:rsid w:val="002368F6"/>
    <w:rPr>
      <w:vertAlign w:val="superscript"/>
    </w:rPr>
  </w:style>
  <w:style w:type="paragraph" w:styleId="BalloonText">
    <w:name w:val="Balloon Text"/>
    <w:basedOn w:val="Normal"/>
    <w:link w:val="BalloonTextChar"/>
    <w:rsid w:val="000C75C4"/>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C75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2A86"/>
    <w:pPr>
      <w:spacing w:line="300" w:lineRule="atLeast"/>
    </w:pPr>
    <w:rPr>
      <w:rFonts w:ascii="Arial" w:hAnsi="Arial"/>
      <w:sz w:val="22"/>
      <w:szCs w:val="24"/>
    </w:rPr>
  </w:style>
  <w:style w:type="paragraph" w:styleId="Heading1">
    <w:name w:val="heading 1"/>
    <w:basedOn w:val="Normal"/>
    <w:next w:val="Normal"/>
    <w:link w:val="Heading1Char"/>
    <w:qFormat/>
    <w:rsid w:val="00E62A86"/>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qFormat/>
    <w:rsid w:val="00E62A86"/>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qFormat/>
    <w:rsid w:val="00E62A86"/>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qFormat/>
    <w:rsid w:val="00E62A86"/>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qFormat/>
    <w:rsid w:val="00E62A86"/>
    <w:pPr>
      <w:numPr>
        <w:ilvl w:val="4"/>
        <w:numId w:val="1"/>
      </w:numPr>
      <w:spacing w:before="240" w:after="60" w:line="240" w:lineRule="auto"/>
      <w:jc w:val="both"/>
      <w:outlineLvl w:val="4"/>
    </w:pPr>
    <w:rPr>
      <w:bCs/>
      <w:iCs/>
      <w:szCs w:val="26"/>
    </w:rPr>
  </w:style>
  <w:style w:type="paragraph" w:styleId="Heading6">
    <w:name w:val="heading 6"/>
    <w:basedOn w:val="Normal"/>
    <w:next w:val="Normal"/>
    <w:qFormat/>
    <w:rsid w:val="00E62A86"/>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qFormat/>
    <w:rsid w:val="00E62A86"/>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qFormat/>
    <w:rsid w:val="00E62A86"/>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qFormat/>
    <w:rsid w:val="00E62A86"/>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62A86"/>
    <w:rPr>
      <w:rFonts w:ascii="Arial Bold" w:hAnsi="Arial Bold" w:cs="Arial"/>
      <w:bCs/>
      <w:color w:val="FFFFFF"/>
      <w:kern w:val="32"/>
      <w:sz w:val="24"/>
      <w:szCs w:val="32"/>
      <w:lang w:val="en-GB" w:eastAsia="en-GB" w:bidi="ar-SA"/>
    </w:rPr>
  </w:style>
  <w:style w:type="paragraph" w:styleId="BodyText">
    <w:name w:val="Body Text"/>
    <w:basedOn w:val="Normal"/>
    <w:rsid w:val="00E62A86"/>
    <w:pPr>
      <w:spacing w:after="120"/>
    </w:pPr>
  </w:style>
  <w:style w:type="character" w:styleId="Hyperlink">
    <w:name w:val="Hyperlink"/>
    <w:rsid w:val="00E62A86"/>
    <w:rPr>
      <w:color w:val="0000FF"/>
      <w:u w:val="single"/>
    </w:rPr>
  </w:style>
  <w:style w:type="character" w:styleId="CommentReference">
    <w:name w:val="annotation reference"/>
    <w:semiHidden/>
    <w:rsid w:val="00E62A86"/>
    <w:rPr>
      <w:sz w:val="16"/>
      <w:szCs w:val="16"/>
    </w:rPr>
  </w:style>
  <w:style w:type="paragraph" w:styleId="CommentText">
    <w:name w:val="annotation text"/>
    <w:basedOn w:val="Normal"/>
    <w:semiHidden/>
    <w:rsid w:val="00E62A86"/>
    <w:rPr>
      <w:szCs w:val="20"/>
    </w:rPr>
  </w:style>
  <w:style w:type="numbering" w:styleId="111111">
    <w:name w:val="Outline List 2"/>
    <w:basedOn w:val="NoList"/>
    <w:semiHidden/>
    <w:rsid w:val="00F832F5"/>
    <w:pPr>
      <w:numPr>
        <w:numId w:val="2"/>
      </w:numPr>
    </w:pPr>
  </w:style>
  <w:style w:type="paragraph" w:styleId="FootnoteText">
    <w:name w:val="footnote text"/>
    <w:basedOn w:val="Normal"/>
    <w:semiHidden/>
    <w:rsid w:val="002368F6"/>
    <w:rPr>
      <w:sz w:val="20"/>
      <w:szCs w:val="20"/>
    </w:rPr>
  </w:style>
  <w:style w:type="character" w:styleId="FootnoteReference">
    <w:name w:val="footnote reference"/>
    <w:semiHidden/>
    <w:rsid w:val="002368F6"/>
    <w:rPr>
      <w:vertAlign w:val="superscript"/>
    </w:rPr>
  </w:style>
  <w:style w:type="paragraph" w:styleId="BalloonText">
    <w:name w:val="Balloon Text"/>
    <w:basedOn w:val="Normal"/>
    <w:link w:val="BalloonTextChar"/>
    <w:rsid w:val="000C75C4"/>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C75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87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james.bradley@nationalgrid.com" TargetMode="External"/><Relationship Id="rId4" Type="http://schemas.microsoft.com/office/2007/relationships/stylesWithEffects" Target="stylesWithEffects.xml"/><Relationship Id="rId9" Type="http://schemas.openxmlformats.org/officeDocument/2006/relationships/hyperlink" Target="mailto:europeancodes.electricity@nationalgri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3B1FF-3289-4D3B-B652-094711FCE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3</Pages>
  <Words>826</Words>
  <Characters>4401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Annex 4 - CUSC Workgroup Consultation Response Proforma</vt:lpstr>
    </vt:vector>
  </TitlesOfParts>
  <Company>National Grid</Company>
  <LinksUpToDate>false</LinksUpToDate>
  <CharactersWithSpaces>5217</CharactersWithSpaces>
  <SharedDoc>false</SharedDoc>
  <HLinks>
    <vt:vector size="24" baseType="variant">
      <vt:variant>
        <vt:i4>983158</vt:i4>
      </vt:variant>
      <vt:variant>
        <vt:i4>6</vt:i4>
      </vt:variant>
      <vt:variant>
        <vt:i4>0</vt:i4>
      </vt:variant>
      <vt:variant>
        <vt:i4>5</vt:i4>
      </vt:variant>
      <vt:variant>
        <vt:lpwstr>mailto:cusc.team@nationalgrid.com</vt:lpwstr>
      </vt:variant>
      <vt:variant>
        <vt:lpwstr/>
      </vt:variant>
      <vt:variant>
        <vt:i4>5308460</vt:i4>
      </vt:variant>
      <vt:variant>
        <vt:i4>3</vt:i4>
      </vt:variant>
      <vt:variant>
        <vt:i4>0</vt:i4>
      </vt:variant>
      <vt:variant>
        <vt:i4>5</vt:i4>
      </vt:variant>
      <vt:variant>
        <vt:lpwstr>mailto:heena.chauhan@nationalgrid.com</vt:lpwstr>
      </vt:variant>
      <vt:variant>
        <vt:lpwstr/>
      </vt:variant>
      <vt:variant>
        <vt:i4>983158</vt:i4>
      </vt:variant>
      <vt:variant>
        <vt:i4>0</vt:i4>
      </vt:variant>
      <vt:variant>
        <vt:i4>0</vt:i4>
      </vt:variant>
      <vt:variant>
        <vt:i4>5</vt:i4>
      </vt:variant>
      <vt:variant>
        <vt:lpwstr>mailto:cusc.team@nationalgrid.com</vt:lpwstr>
      </vt:variant>
      <vt:variant>
        <vt:lpwstr/>
      </vt:variant>
      <vt:variant>
        <vt:i4>3604491</vt:i4>
      </vt:variant>
      <vt:variant>
        <vt:i4>0</vt:i4>
      </vt:variant>
      <vt:variant>
        <vt:i4>0</vt:i4>
      </vt:variant>
      <vt:variant>
        <vt:i4>5</vt:i4>
      </vt:variant>
      <vt:variant>
        <vt:lpwstr>http://www.nationalgrid.com/uk/Electricity/Codes/systemcode/amendments/forms_guidance/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4 - CUSC Workgroup Consultation Response Proforma</dc:title>
  <dc:creator>Thomas.Derry</dc:creator>
  <cp:lastModifiedBy>Graham, Garth</cp:lastModifiedBy>
  <cp:revision>11</cp:revision>
  <cp:lastPrinted>2017-01-23T08:36:00Z</cp:lastPrinted>
  <dcterms:created xsi:type="dcterms:W3CDTF">2017-01-20T09:44:00Z</dcterms:created>
  <dcterms:modified xsi:type="dcterms:W3CDTF">2017-01-23T08:53:00Z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